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762F" w14:textId="77777777" w:rsidR="009C40FA" w:rsidRDefault="00BD2F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/>
          <w:color w:val="171C8F"/>
          <w:sz w:val="28"/>
          <w:szCs w:val="28"/>
        </w:rPr>
      </w:pPr>
      <w:bookmarkStart w:id="0" w:name="_gjdgxs" w:colFirst="0" w:colLast="0"/>
      <w:bookmarkEnd w:id="0"/>
      <w:r>
        <w:rPr>
          <w:rFonts w:ascii="Roboto" w:eastAsia="Roboto" w:hAnsi="Roboto" w:cs="Roboto"/>
          <w:b/>
          <w:color w:val="171C8F"/>
          <w:sz w:val="32"/>
          <w:szCs w:val="32"/>
        </w:rPr>
        <w:t xml:space="preserve">SEIZING THE URBAN OPPORTUNITY: </w:t>
      </w:r>
      <w:r w:rsidRPr="00BE2E6D">
        <w:rPr>
          <w:rFonts w:ascii="Roboto" w:eastAsia="Roboto" w:hAnsi="Roboto" w:cs="Roboto"/>
          <w:b/>
          <w:color w:val="171C8F"/>
          <w:sz w:val="32"/>
          <w:szCs w:val="32"/>
        </w:rPr>
        <w:t>CHINA</w:t>
      </w:r>
      <w:r>
        <w:rPr>
          <w:rFonts w:ascii="Roboto" w:eastAsia="Roboto" w:hAnsi="Roboto" w:cs="Roboto"/>
          <w:color w:val="171C8F"/>
          <w:sz w:val="32"/>
          <w:szCs w:val="32"/>
        </w:rPr>
        <w:br/>
      </w:r>
      <w:r>
        <w:rPr>
          <w:rFonts w:ascii="Roboto" w:eastAsia="Roboto" w:hAnsi="Roboto" w:cs="Roboto"/>
          <w:i/>
          <w:color w:val="171C8F"/>
          <w:sz w:val="28"/>
          <w:szCs w:val="28"/>
        </w:rPr>
        <w:t>Cities at the heart of the 14</w:t>
      </w:r>
      <w:r>
        <w:rPr>
          <w:rFonts w:ascii="Roboto" w:eastAsia="Roboto" w:hAnsi="Roboto" w:cs="Roboto"/>
          <w:i/>
          <w:color w:val="171C8F"/>
          <w:sz w:val="28"/>
          <w:szCs w:val="28"/>
          <w:vertAlign w:val="superscript"/>
        </w:rPr>
        <w:t>th</w:t>
      </w:r>
      <w:r>
        <w:rPr>
          <w:rFonts w:ascii="Roboto" w:eastAsia="Roboto" w:hAnsi="Roboto" w:cs="Roboto"/>
          <w:i/>
          <w:color w:val="171C8F"/>
          <w:sz w:val="28"/>
          <w:szCs w:val="28"/>
        </w:rPr>
        <w:t xml:space="preserve"> Five-Year Plan and a national vision for net-zero emissions</w:t>
      </w:r>
    </w:p>
    <w:p w14:paraId="3C4BBB59" w14:textId="77777777" w:rsidR="009C40FA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color w:val="000000"/>
          <w:sz w:val="22"/>
          <w:szCs w:val="22"/>
        </w:rPr>
      </w:pPr>
    </w:p>
    <w:p w14:paraId="405F09BE" w14:textId="77777777" w:rsidR="009C40FA" w:rsidRDefault="00BD2F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b/>
          <w:color w:val="171C8F"/>
          <w:sz w:val="26"/>
          <w:szCs w:val="26"/>
        </w:rPr>
      </w:pPr>
      <w:r>
        <w:rPr>
          <w:rFonts w:ascii="Roboto" w:eastAsia="Roboto" w:hAnsi="Roboto" w:cs="Roboto"/>
          <w:b/>
          <w:color w:val="171C8F"/>
          <w:sz w:val="26"/>
          <w:szCs w:val="26"/>
        </w:rPr>
        <w:t>National Priorities for Action for China</w:t>
      </w:r>
    </w:p>
    <w:p w14:paraId="190591A5" w14:textId="77777777" w:rsidR="009C40FA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/>
          <w:color w:val="000000"/>
          <w:sz w:val="22"/>
          <w:szCs w:val="22"/>
          <w:lang w:val="en-US"/>
        </w:rPr>
      </w:pPr>
    </w:p>
    <w:p w14:paraId="05B135B2" w14:textId="77777777" w:rsidR="009C40FA" w:rsidRPr="00545B63" w:rsidRDefault="00BD2F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China’s economic success story is built on cities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, which are home to three-fifths of its population and 90% of GDP. By 2050, four in five Chinese are expected to live in cities.</w:t>
      </w:r>
    </w:p>
    <w:p w14:paraId="7A659D77" w14:textId="77777777" w:rsidR="009C40FA" w:rsidRPr="00545B63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</w:p>
    <w:p w14:paraId="2756DA17" w14:textId="77777777" w:rsidR="009C40FA" w:rsidRPr="00545B63" w:rsidRDefault="00BD2F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But China’s urban areas also face major challenges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, including pollution, traffic congestion and urban sprawl. Climate change also poses growing threats, including severe floods, water scarcity, sea-level </w:t>
      </w:r>
      <w:proofErr w:type="gramStart"/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rise</w:t>
      </w:r>
      <w:proofErr w:type="gramEnd"/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and extreme heat.</w:t>
      </w:r>
    </w:p>
    <w:p w14:paraId="49F96192" w14:textId="77777777" w:rsidR="009C40FA" w:rsidRPr="00545B63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</w:p>
    <w:p w14:paraId="7F21073C" w14:textId="77777777" w:rsidR="009C40FA" w:rsidRPr="00545B63" w:rsidRDefault="00BD2F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Beijing has already taken major steps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to address pollution and strengthen enforcement. It has also embraced nature-based solutions to build resilience, from reforestation to the pioneering Sponge City Programme. And it has pledged to reach carbon neutrality by 2060.</w:t>
      </w:r>
    </w:p>
    <w:p w14:paraId="311F89E6" w14:textId="77777777" w:rsidR="009C40FA" w:rsidRPr="00545B63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</w:p>
    <w:p w14:paraId="21FA1532" w14:textId="77777777" w:rsidR="009C40FA" w:rsidRPr="00545B63" w:rsidRDefault="00BD2F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This is a pivotal time for China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, with the 14th Five-Year Plan (FYP) now unveiled and an updated Nationally Determined Contribution (NDC) in the works. China has also made major investments to revitalise the economy after the COVID-19 crisis, with US$729 billion budgeted as of February 2021 for a wide range of projects, including electric vehicles and EV infrastructure, building renovations, railway infrastructure, and Green Development Fund.</w:t>
      </w:r>
    </w:p>
    <w:p w14:paraId="120BF470" w14:textId="77777777" w:rsidR="009C40FA" w:rsidRPr="00545B63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6FAD14EC" w14:textId="77777777" w:rsidR="009C40FA" w:rsidRPr="00545B63" w:rsidRDefault="00BD2FEB">
      <w:pPr>
        <w:pStyle w:val="ListParagraph"/>
        <w:numPr>
          <w:ilvl w:val="0"/>
          <w:numId w:val="5"/>
        </w:numPr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The report highlights numerous opportunities for action in China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</w:rPr>
        <w:t>, which include:</w:t>
      </w:r>
    </w:p>
    <w:p w14:paraId="5E089054" w14:textId="77777777" w:rsidR="009C40FA" w:rsidRPr="00545B63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0995C441" w14:textId="77777777" w:rsidR="009C40FA" w:rsidRPr="00545B63" w:rsidRDefault="00BD2F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Putting sustainable cities at the heart of the implementation of its FYP, NDC, and investment plans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</w:rPr>
        <w:t xml:space="preserve"> with the aim of peaking emissions in most urban areas by 2025. The FYP’s massive investments will shape China’s trajectory for years to come. This is a chance to transform cities to lead the way to a carbon-neutral future.</w:t>
      </w:r>
    </w:p>
    <w:p w14:paraId="5196AE01" w14:textId="77777777" w:rsidR="009C40FA" w:rsidRPr="00545B63" w:rsidRDefault="00BD2F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Prioritising energy-efficient buildings, both new construction and retrofits, in future spending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</w:rPr>
        <w:t>. This is a prime opportunity to support the creation of large numbers of jobs in cities and slow the rise in electricity demand.</w:t>
      </w:r>
    </w:p>
    <w:p w14:paraId="1C9E45A4" w14:textId="77777777" w:rsidR="009C40FA" w:rsidRPr="00545B63" w:rsidRDefault="00BD2F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Supporting small and mid-sized cities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</w:rPr>
        <w:t>. This is a chance to foster sustainable development, transform mobility and accessibility, and improve inter-regional equity.</w:t>
      </w:r>
    </w:p>
    <w:p w14:paraId="7EE25FEB" w14:textId="77777777" w:rsidR="009C40FA" w:rsidRPr="00545B63" w:rsidRDefault="00BD2F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</w:rPr>
        <w:t>Incorporating decarbonisation and resilience objectives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</w:rPr>
        <w:t>, including nature-based solutions, in national urban design and regeneration strategies. China aims to have 80% of urban built-up areas meet Sponge City standards by 2030, thus it is crucial to keep scaling up those efforts and incorporate equally ambitious measures in urban renewal projects.</w:t>
      </w:r>
    </w:p>
    <w:p w14:paraId="4D86B52E" w14:textId="77777777" w:rsidR="009C40FA" w:rsidRPr="00545B63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43E17476" w14:textId="77777777" w:rsidR="009C40FA" w:rsidRPr="00545B63" w:rsidRDefault="00BD2F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>Successful implementation of the report’s solutions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could result in:</w:t>
      </w:r>
    </w:p>
    <w:p w14:paraId="3B3DA909" w14:textId="77777777" w:rsidR="009C40FA" w:rsidRPr="00545B63" w:rsidRDefault="009C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Roboto" w:eastAsia="Roboto" w:hAnsi="Roboto" w:cs="Roboto"/>
          <w:iCs/>
          <w:color w:val="000000"/>
          <w:sz w:val="22"/>
          <w:szCs w:val="22"/>
        </w:rPr>
      </w:pPr>
    </w:p>
    <w:p w14:paraId="478A93C3" w14:textId="77777777" w:rsidR="009C40FA" w:rsidRPr="00545B63" w:rsidRDefault="00BD2F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89% fewer GHG emissions 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from urban buildings, </w:t>
      </w:r>
      <w:proofErr w:type="gramStart"/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transport</w:t>
      </w:r>
      <w:proofErr w:type="gramEnd"/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 xml:space="preserve"> and waste by 2050</w:t>
      </w:r>
    </w:p>
    <w:p w14:paraId="2A538359" w14:textId="77777777" w:rsidR="009C40FA" w:rsidRPr="00545B63" w:rsidRDefault="00BD2F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Economic returns of $7.7 trillion 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by 2050 (after investments of $5.5 trillion)</w:t>
      </w:r>
    </w:p>
    <w:p w14:paraId="7281E862" w14:textId="31235609" w:rsidR="009C40FA" w:rsidRPr="00545B63" w:rsidRDefault="00BD2FEB" w:rsidP="000218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Cs/>
          <w:color w:val="000000"/>
          <w:sz w:val="22"/>
          <w:szCs w:val="22"/>
        </w:rPr>
      </w:pPr>
      <w:r w:rsidRPr="00545B63">
        <w:rPr>
          <w:rFonts w:ascii="Roboto" w:eastAsia="Roboto" w:hAnsi="Roboto" w:cs="Roboto"/>
          <w:b/>
          <w:bCs/>
          <w:iCs/>
          <w:color w:val="000000"/>
          <w:sz w:val="22"/>
          <w:szCs w:val="22"/>
          <w:lang w:val="en-US"/>
        </w:rPr>
        <w:t xml:space="preserve">15.2 million new jobs </w:t>
      </w:r>
      <w:r w:rsidRPr="00545B63">
        <w:rPr>
          <w:rFonts w:ascii="Roboto" w:eastAsia="Roboto" w:hAnsi="Roboto" w:cs="Roboto"/>
          <w:iCs/>
          <w:color w:val="000000"/>
          <w:sz w:val="22"/>
          <w:szCs w:val="22"/>
          <w:lang w:val="en-US"/>
        </w:rPr>
        <w:t>in 2030 (mostly in energy efficiency)</w:t>
      </w:r>
    </w:p>
    <w:sectPr w:rsidR="009C40FA" w:rsidRPr="00545B63" w:rsidSect="00865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622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A076" w14:textId="77777777" w:rsidR="00496CE7" w:rsidRDefault="00496CE7">
      <w:r>
        <w:separator/>
      </w:r>
    </w:p>
  </w:endnote>
  <w:endnote w:type="continuationSeparator" w:id="0">
    <w:p w14:paraId="083EEF07" w14:textId="77777777" w:rsidR="00496CE7" w:rsidRDefault="004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85C0" w14:textId="77777777" w:rsidR="009C40FA" w:rsidRDefault="009C4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color w:val="000000"/>
        <w:sz w:val="22"/>
        <w:szCs w:val="22"/>
      </w:rPr>
    </w:pPr>
  </w:p>
  <w:p w14:paraId="0AB5E222" w14:textId="77777777" w:rsidR="009C40FA" w:rsidRDefault="009C4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1988" w14:textId="77777777" w:rsidR="009C40FA" w:rsidRDefault="00BD2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" w:eastAsia="Roboto" w:hAnsi="Roboto" w:cs="Roboto"/>
        <w:color w:val="000000"/>
        <w:sz w:val="18"/>
        <w:szCs w:val="18"/>
      </w:rPr>
    </w:pPr>
    <w:r>
      <w:rPr>
        <w:rFonts w:ascii="Roboto" w:eastAsia="Roboto" w:hAnsi="Roboto" w:cs="Roboto"/>
        <w:color w:val="000000"/>
        <w:sz w:val="18"/>
        <w:szCs w:val="18"/>
      </w:rPr>
      <w:t>6</w:t>
    </w:r>
  </w:p>
  <w:p w14:paraId="139D6F6B" w14:textId="77777777" w:rsidR="009C40FA" w:rsidRDefault="009C4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19C81CC3" w14:textId="77777777" w:rsidR="009C40FA" w:rsidRDefault="009C4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64B" w14:textId="77777777" w:rsidR="00496CE7" w:rsidRDefault="00496CE7">
      <w:r>
        <w:separator/>
      </w:r>
    </w:p>
  </w:footnote>
  <w:footnote w:type="continuationSeparator" w:id="0">
    <w:p w14:paraId="6BBCF76B" w14:textId="77777777" w:rsidR="00496CE7" w:rsidRDefault="004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5D69" w14:textId="77777777" w:rsidR="009C40FA" w:rsidRDefault="00BD2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DD64EA7" wp14:editId="3194339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27942" cy="2527942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4056950" y="3291050"/>
                        <a:ext cx="2578100" cy="977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61B202" w14:textId="77777777" w:rsidR="009C40FA" w:rsidRDefault="009C40FA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64EA7" id="Rectangle 1" o:spid="_x0000_s1026" style="position:absolute;margin-left:0;margin-top:0;width:199.05pt;height:199.05pt;rotation:-45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" filled="f" stroked="f">
              <v:textbox inset="2.53958mm,2.53958mm,2.53958mm,2.53958mm">
                <w:txbxContent>
                  <w:p w14:paraId="2261B202" w14:textId="77777777" w:rsidR="009C40FA" w:rsidRDefault="009C40FA"/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163" w14:textId="77777777" w:rsidR="009C40FA" w:rsidRDefault="00BD2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1D8BCFF2" wp14:editId="17B53136">
          <wp:simplePos x="0" y="0"/>
          <wp:positionH relativeFrom="margin">
            <wp:posOffset>5086350</wp:posOffset>
          </wp:positionH>
          <wp:positionV relativeFrom="margin">
            <wp:posOffset>-591805</wp:posOffset>
          </wp:positionV>
          <wp:extent cx="1167765" cy="69024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765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592F" w14:textId="77777777" w:rsidR="009C40FA" w:rsidRDefault="00BD2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2DA43C" wp14:editId="7B024D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27942" cy="2527942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4056950" y="3291050"/>
                        <a:ext cx="2578100" cy="977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8A4BF0" w14:textId="77777777" w:rsidR="009C40FA" w:rsidRDefault="009C40FA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7" style="position:absolute;margin-left:0;margin-top:0;width:199.05pt;height:199.05pt;rotation:-45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" filled="f" stroked="f">
              <v:textbox inset="2.53958mm,2.53958mm,2.53958mm,2.53958mm">
                <w:txbxContent>
                  <w:p/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A5D2B7"/>
    <w:multiLevelType w:val="hybridMultilevel"/>
    <w:tmpl w:val="9DFC35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0D3222"/>
    <w:multiLevelType w:val="hybridMultilevel"/>
    <w:tmpl w:val="E093C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C1183"/>
    <w:multiLevelType w:val="hybridMultilevel"/>
    <w:tmpl w:val="3228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F37"/>
    <w:multiLevelType w:val="multilevel"/>
    <w:tmpl w:val="E1D2F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B65935"/>
    <w:multiLevelType w:val="multilevel"/>
    <w:tmpl w:val="30745C1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E707A9"/>
    <w:multiLevelType w:val="hybridMultilevel"/>
    <w:tmpl w:val="517804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DF3414"/>
    <w:multiLevelType w:val="multilevel"/>
    <w:tmpl w:val="293097D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9225D2"/>
    <w:multiLevelType w:val="multilevel"/>
    <w:tmpl w:val="35C6790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B4559B"/>
    <w:multiLevelType w:val="multilevel"/>
    <w:tmpl w:val="D1F2F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FA"/>
    <w:rsid w:val="0002186F"/>
    <w:rsid w:val="00496CE7"/>
    <w:rsid w:val="00545B63"/>
    <w:rsid w:val="005F56F1"/>
    <w:rsid w:val="0086547A"/>
    <w:rsid w:val="008F1984"/>
    <w:rsid w:val="00931B8E"/>
    <w:rsid w:val="009C40FA"/>
    <w:rsid w:val="00BD2FEB"/>
    <w:rsid w:val="00B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359AC"/>
  <w15:docId w15:val="{12421657-A769-4207-B5CD-040DB58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Lato" w:eastAsia="Lato" w:hAnsi="Lato" w:cs="Lato"/>
      <w:b/>
      <w:color w:val="314E84"/>
      <w:sz w:val="37"/>
      <w:szCs w:val="3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1"/>
    </w:pPr>
    <w:rPr>
      <w:rFonts w:ascii="Lato" w:eastAsia="Lato" w:hAnsi="Lato" w:cs="Lato"/>
      <w:b/>
      <w:smallCaps/>
      <w:color w:val="314E84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Lato" w:eastAsia="Lato" w:hAnsi="Lato" w:cs="Lato"/>
      <w:b/>
      <w:color w:val="47474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Lato" w:eastAsia="Lato" w:hAnsi="Lato" w:cs="Lato"/>
      <w:smallCaps/>
      <w:color w:val="00000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</w:style>
  <w:style w:type="paragraph" w:styleId="Footer">
    <w:name w:val="footer"/>
    <w:basedOn w:val="Normal"/>
    <w:link w:val="FooterChar"/>
    <w:uiPriority w:val="99"/>
    <w:unhideWhenUsed/>
    <w:rsid w:val="00865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4445A8530F4186050C90BC7D9697" ma:contentTypeVersion="23" ma:contentTypeDescription="Create a new document." ma:contentTypeScope="" ma:versionID="cef719bf634d8495842026bb89f8b0c8">
  <xsd:schema xmlns:xsd="http://www.w3.org/2001/XMLSchema" xmlns:xs="http://www.w3.org/2001/XMLSchema" xmlns:p="http://schemas.microsoft.com/office/2006/metadata/properties" xmlns:ns1="http://schemas.microsoft.com/sharepoint/v3" xmlns:ns2="54dc29e5-a604-4bb4-acc0-3bc6745e3d60" xmlns:ns3="9d07b42b-afa3-444f-a418-2b77411a8b7d" targetNamespace="http://schemas.microsoft.com/office/2006/metadata/properties" ma:root="true" ma:fieldsID="c26d5cfa236844e243985c6339e1f7c0" ns1:_="" ns2:_="" ns3:_="">
    <xsd:import namespace="http://schemas.microsoft.com/sharepoint/v3"/>
    <xsd:import namespace="54dc29e5-a604-4bb4-acc0-3bc6745e3d60"/>
    <xsd:import namespace="9d07b42b-afa3-444f-a418-2b77411a8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29e5-a604-4bb4-acc0-3bc6745e3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7b42b-afa3-444f-a418-2b77411a8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B91A3-64D1-41BC-A19F-167B5DD25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F8102-834C-42CB-9C78-31E9C7169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dc29e5-a604-4bb4-acc0-3bc6745e3d60"/>
    <ds:schemaRef ds:uri="9d07b42b-afa3-444f-a418-2b77411a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ACA00-D1DE-4C06-9C03-2AB7011AA6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 Vitello</cp:lastModifiedBy>
  <cp:revision>3</cp:revision>
  <dcterms:created xsi:type="dcterms:W3CDTF">2021-11-09T21:41:00Z</dcterms:created>
  <dcterms:modified xsi:type="dcterms:W3CDTF">2021-11-09T21:43:00Z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0x010100B52F4445A8530F4186050C90BC7D9697</vt:lpwstr>
  </property>
</Properties>
</file>