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68DA" w14:textId="77777777" w:rsidR="00CC28A0" w:rsidRDefault="002E21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/>
          <w:color w:val="171C8F"/>
          <w:sz w:val="28"/>
          <w:szCs w:val="28"/>
        </w:rPr>
      </w:pPr>
      <w:bookmarkStart w:id="0" w:name="_gjdgxs" w:colFirst="0" w:colLast="0"/>
      <w:bookmarkEnd w:id="0"/>
      <w:r>
        <w:rPr>
          <w:rFonts w:ascii="Roboto" w:eastAsia="Roboto" w:hAnsi="Roboto" w:cs="Roboto"/>
          <w:b/>
          <w:color w:val="171C8F"/>
          <w:sz w:val="32"/>
          <w:szCs w:val="32"/>
        </w:rPr>
        <w:t xml:space="preserve">SEIZING THE URBAN OPPORTUNITY: </w:t>
      </w:r>
      <w:r w:rsidRPr="00E54469">
        <w:rPr>
          <w:rFonts w:ascii="Roboto" w:eastAsia="Roboto" w:hAnsi="Roboto" w:cs="Roboto"/>
          <w:b/>
          <w:color w:val="171C8F"/>
          <w:sz w:val="32"/>
          <w:szCs w:val="32"/>
        </w:rPr>
        <w:t>INDIA</w:t>
      </w:r>
      <w:r>
        <w:rPr>
          <w:rFonts w:ascii="Roboto" w:eastAsia="Roboto" w:hAnsi="Roboto" w:cs="Roboto"/>
          <w:color w:val="171C8F"/>
          <w:sz w:val="32"/>
          <w:szCs w:val="32"/>
        </w:rPr>
        <w:br/>
      </w:r>
      <w:r>
        <w:rPr>
          <w:rFonts w:ascii="Roboto" w:eastAsia="Roboto" w:hAnsi="Roboto" w:cs="Roboto"/>
          <w:i/>
          <w:color w:val="171C8F"/>
          <w:sz w:val="28"/>
          <w:szCs w:val="28"/>
        </w:rPr>
        <w:t xml:space="preserve">Mobilising national missions to unleash the full potential of Climate Smart Cities </w:t>
      </w:r>
    </w:p>
    <w:p w14:paraId="0D947A25" w14:textId="77777777" w:rsidR="00CC28A0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color w:val="000000"/>
          <w:sz w:val="22"/>
          <w:szCs w:val="22"/>
        </w:rPr>
      </w:pPr>
    </w:p>
    <w:p w14:paraId="141E962A" w14:textId="77777777" w:rsidR="00CC28A0" w:rsidRDefault="002E21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b/>
          <w:color w:val="171C8F"/>
          <w:sz w:val="26"/>
          <w:szCs w:val="26"/>
        </w:rPr>
      </w:pPr>
      <w:r>
        <w:rPr>
          <w:rFonts w:ascii="Roboto" w:eastAsia="Roboto" w:hAnsi="Roboto" w:cs="Roboto"/>
          <w:b/>
          <w:color w:val="171C8F"/>
          <w:sz w:val="26"/>
          <w:szCs w:val="26"/>
        </w:rPr>
        <w:t>National Priorities for Action for India</w:t>
      </w:r>
    </w:p>
    <w:p w14:paraId="74738FFD" w14:textId="77777777" w:rsidR="00CC28A0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/>
          <w:color w:val="000000"/>
          <w:sz w:val="22"/>
          <w:szCs w:val="22"/>
          <w:lang w:val="en-US"/>
        </w:rPr>
      </w:pPr>
    </w:p>
    <w:p w14:paraId="1067C8BC" w14:textId="77777777" w:rsidR="00CC28A0" w:rsidRPr="00E54469" w:rsidRDefault="002E2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India’s cities are economic powerhouses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, contributing 63% of GDP in 2011 and a projected 75% by 2030. The country is also </w:t>
      </w:r>
      <w:proofErr w:type="spellStart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urbanising</w:t>
      </w:r>
      <w:proofErr w:type="spellEnd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quickly, with 34% of its people living in urban areas as of 2018, and almost 53% expected to by 2050.</w:t>
      </w:r>
    </w:p>
    <w:p w14:paraId="788C9675" w14:textId="77777777" w:rsidR="00CC28A0" w:rsidRPr="00E54469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</w:p>
    <w:p w14:paraId="4474EF41" w14:textId="77777777" w:rsidR="00CC28A0" w:rsidRPr="00E54469" w:rsidRDefault="002E21AB">
      <w:pPr>
        <w:pStyle w:val="ListParagraph"/>
        <w:numPr>
          <w:ilvl w:val="0"/>
          <w:numId w:val="5"/>
        </w:numPr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Yet it faces daunting challenges 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which include providing decent housing, public </w:t>
      </w:r>
      <w:proofErr w:type="gramStart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services</w:t>
      </w:r>
      <w:proofErr w:type="gramEnd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and job opportunities for many in a short time, and to do so both equitably and sustainably. India also urgently needs to build climate resilience. Climate change is exacerbating what is already a daunting water crisis and heat waves in several cities have created deadly conditions. Floods are another growing threat, with coastal cities in particular peril.</w:t>
      </w:r>
    </w:p>
    <w:p w14:paraId="550B680E" w14:textId="77777777" w:rsidR="00CC28A0" w:rsidRPr="00E54469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</w:p>
    <w:p w14:paraId="31A3B9F4" w14:textId="77777777" w:rsidR="00CC28A0" w:rsidRPr="00E54469" w:rsidRDefault="002E2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Several major national </w:t>
      </w:r>
      <w:proofErr w:type="spellStart"/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programmes</w:t>
      </w:r>
      <w:proofErr w:type="spellEnd"/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 are already helping India’s cities become more resilient, </w:t>
      </w:r>
      <w:proofErr w:type="gramStart"/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sustainable</w:t>
      </w:r>
      <w:proofErr w:type="gramEnd"/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 and inclusive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, including the Pradhan Mantri </w:t>
      </w:r>
      <w:proofErr w:type="spellStart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Awas</w:t>
      </w:r>
      <w:proofErr w:type="spellEnd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Yojana (PMAY) Housing for All scheme, the Atal Mission for Rejuvenation and Transformation, and the Smart Cities Mission, which harnesses technology to drive growth and improve city services. The </w:t>
      </w:r>
      <w:proofErr w:type="spellStart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ClimateSmart</w:t>
      </w:r>
      <w:proofErr w:type="spellEnd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Cities Assessment Framework is another particularly powerful tool that allows cities to assess their own vulnerabilities and potential for climate action on everything </w:t>
      </w:r>
      <w:proofErr w:type="gramStart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from energy,</w:t>
      </w:r>
      <w:proofErr w:type="gramEnd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to green cover, to waste management.</w:t>
      </w:r>
    </w:p>
    <w:p w14:paraId="71218973" w14:textId="77777777" w:rsidR="00CC28A0" w:rsidRPr="00E54469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</w:p>
    <w:p w14:paraId="2EA2E961" w14:textId="77777777" w:rsidR="00CC28A0" w:rsidRPr="00E54469" w:rsidRDefault="002E2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This is a pivotal time for India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. 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>New analysis for the Coalition shows that India’s urban footprint expanded by 9,822 km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vertAlign w:val="superscript"/>
        </w:rPr>
        <w:t>2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 xml:space="preserve"> between 2000 and 2014 – about 1.5 times the size of the Mumbai Metropolitan Region. 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Through large-scale investments and innovative projects, the “missions” described above offer key entry points for urban transformation. Moreover, India’s government has also pledged to </w:t>
      </w:r>
      <w:proofErr w:type="spellStart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mobilise</w:t>
      </w:r>
      <w:proofErr w:type="spellEnd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up to $2 trillion in public and private finance through a National Infrastructure Pipeline, with thousands of projects.</w:t>
      </w:r>
    </w:p>
    <w:p w14:paraId="3ADFF798" w14:textId="77777777" w:rsidR="00CC28A0" w:rsidRPr="00E54469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</w:rPr>
      </w:pPr>
    </w:p>
    <w:p w14:paraId="3D2A5564" w14:textId="77777777" w:rsidR="00CC28A0" w:rsidRPr="00E54469" w:rsidRDefault="002E21AB">
      <w:pPr>
        <w:pStyle w:val="ListParagraph"/>
        <w:numPr>
          <w:ilvl w:val="0"/>
          <w:numId w:val="5"/>
        </w:numPr>
        <w:rPr>
          <w:rFonts w:ascii="Roboto" w:eastAsia="Roboto" w:hAnsi="Roboto" w:cs="Roboto"/>
          <w:iCs/>
          <w:color w:val="000000"/>
          <w:sz w:val="22"/>
          <w:szCs w:val="22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The report highlights numerous opportunities for action in India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>, which include:</w:t>
      </w:r>
    </w:p>
    <w:p w14:paraId="1C1AA8A2" w14:textId="77777777" w:rsidR="00CC28A0" w:rsidRPr="00E54469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Roboto" w:eastAsia="Roboto" w:hAnsi="Roboto" w:cs="Roboto"/>
          <w:iCs/>
          <w:color w:val="000000"/>
          <w:sz w:val="22"/>
          <w:szCs w:val="22"/>
        </w:rPr>
      </w:pPr>
    </w:p>
    <w:p w14:paraId="45C41762" w14:textId="77777777" w:rsidR="00CC28A0" w:rsidRPr="00E54469" w:rsidRDefault="002E21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Aligning national infrastructure and urban development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 xml:space="preserve"> policies, </w:t>
      </w:r>
      <w:proofErr w:type="gramStart"/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>programmes</w:t>
      </w:r>
      <w:proofErr w:type="gramEnd"/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 xml:space="preserve"> and investments with the vision of </w:t>
      </w:r>
      <w:proofErr w:type="spellStart"/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>ClimateSmart</w:t>
      </w:r>
      <w:proofErr w:type="spellEnd"/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 xml:space="preserve"> Cities. </w:t>
      </w:r>
    </w:p>
    <w:p w14:paraId="0EC1DDDA" w14:textId="77777777" w:rsidR="00CC28A0" w:rsidRPr="00E54469" w:rsidRDefault="002E21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Scaling up energy efficiency initiatives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 xml:space="preserve"> and incorporating clean energy and efficient technologies in housing and other urban programmes. </w:t>
      </w:r>
    </w:p>
    <w:p w14:paraId="3E68A01B" w14:textId="77777777" w:rsidR="00CC28A0" w:rsidRPr="00E54469" w:rsidRDefault="002E21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Supporting local governments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 xml:space="preserve"> – especially small and mid-sized cities – to help them drive urban transformation. </w:t>
      </w:r>
    </w:p>
    <w:p w14:paraId="4ED2F038" w14:textId="77777777" w:rsidR="00CC28A0" w:rsidRPr="00E54469" w:rsidRDefault="002E21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Stepping up investments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</w:rPr>
        <w:t xml:space="preserve"> in sustainable transport, prioritising the urban poor. </w:t>
      </w:r>
    </w:p>
    <w:p w14:paraId="0D5667F8" w14:textId="77777777" w:rsidR="00CC28A0" w:rsidRPr="00E54469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</w:rPr>
      </w:pPr>
    </w:p>
    <w:p w14:paraId="46DF3D7B" w14:textId="77777777" w:rsidR="00CC28A0" w:rsidRPr="00E54469" w:rsidRDefault="002E2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Successful implementation of the report’s solutions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could result in:</w:t>
      </w:r>
    </w:p>
    <w:p w14:paraId="7D466DD9" w14:textId="77777777" w:rsidR="00CC28A0" w:rsidRPr="00E54469" w:rsidRDefault="00CC2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Roboto" w:eastAsia="Roboto" w:hAnsi="Roboto" w:cs="Roboto"/>
          <w:iCs/>
          <w:color w:val="000000"/>
          <w:sz w:val="22"/>
          <w:szCs w:val="22"/>
        </w:rPr>
      </w:pPr>
    </w:p>
    <w:p w14:paraId="11F119B1" w14:textId="77777777" w:rsidR="00CC28A0" w:rsidRPr="00E54469" w:rsidRDefault="002E21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89% fewer GHG emissions 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from urban buildings, </w:t>
      </w:r>
      <w:proofErr w:type="gramStart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transport</w:t>
      </w:r>
      <w:proofErr w:type="gramEnd"/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and waste by 2050</w:t>
      </w:r>
    </w:p>
    <w:p w14:paraId="69735884" w14:textId="77777777" w:rsidR="00CC28A0" w:rsidRPr="00E54469" w:rsidRDefault="002E21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Economic returns of $1.6 trillion 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by 2050 </w:t>
      </w:r>
    </w:p>
    <w:p w14:paraId="0917A928" w14:textId="77777777" w:rsidR="00CC28A0" w:rsidRPr="00E54469" w:rsidRDefault="002E21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Cs/>
        </w:rPr>
      </w:pPr>
      <w:r w:rsidRPr="00E54469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8.2 million new jobs </w:t>
      </w:r>
      <w:r w:rsidRPr="00E54469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in 2030</w:t>
      </w:r>
    </w:p>
    <w:sectPr w:rsidR="00CC28A0" w:rsidRPr="00E54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622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A469" w14:textId="77777777" w:rsidR="002E21AB" w:rsidRDefault="002E21AB">
      <w:r>
        <w:separator/>
      </w:r>
    </w:p>
  </w:endnote>
  <w:endnote w:type="continuationSeparator" w:id="0">
    <w:p w14:paraId="13A4DA8E" w14:textId="77777777" w:rsidR="002E21AB" w:rsidRDefault="002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3855" w14:textId="77777777" w:rsidR="00CC28A0" w:rsidRDefault="00CC2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color w:val="000000"/>
        <w:sz w:val="22"/>
        <w:szCs w:val="22"/>
      </w:rPr>
    </w:pPr>
  </w:p>
  <w:p w14:paraId="0FEEF8FD" w14:textId="77777777" w:rsidR="00CC28A0" w:rsidRDefault="00CC2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7E5C" w14:textId="77777777" w:rsidR="00CC28A0" w:rsidRDefault="00CC2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75D690F8" w14:textId="77777777" w:rsidR="00CC28A0" w:rsidRDefault="00CC2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1207" w14:textId="77777777" w:rsidR="002E21AB" w:rsidRDefault="002E21AB">
      <w:r>
        <w:separator/>
      </w:r>
    </w:p>
  </w:footnote>
  <w:footnote w:type="continuationSeparator" w:id="0">
    <w:p w14:paraId="0CEDECE1" w14:textId="77777777" w:rsidR="002E21AB" w:rsidRDefault="002E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1012" w14:textId="77777777" w:rsidR="00CC28A0" w:rsidRDefault="002E21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6564804" wp14:editId="1715AB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27942" cy="2527942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4056950" y="3291050"/>
                        <a:ext cx="2578100" cy="977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0FD2AA" w14:textId="77777777" w:rsidR="00CC28A0" w:rsidRDefault="00CC28A0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64804" id="Rectangle 1" o:spid="_x0000_s1026" style="position:absolute;margin-left:0;margin-top:0;width:199.05pt;height:199.05pt;rotation:-45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XfuygEAAG4DAAAOAAAAZHJzL2Uyb0RvYy54bWysU9uO0zAQfUfiHyy/b3Nhu91EdVeI1SKk&#13;&#10;FVQsfIDr2I2l+MLYbdK/Z+yEpYI3RB6smXh8fM6Z8fZhMgM5SwjaWUarVUmJtMJ12h4Z/f7t6eae&#13;&#10;khC57fjgrGT0IgN92L19sx19K2vXu6GTQBDEhnb0jPYx+rYoguil4WHlvLS4qRwYHjGFY9EBHxHd&#13;&#10;DEVdlnfF6KDz4IQMAf8+zpt0l/GVkiJ+USrISAZGkVvMK+T1kNZit+XtEbjvtVho8H9gYbi2eOkr&#13;&#10;1COPnJxA/wVltAAXnIor4UzhlNJCZg2opir/UPPScy+zFjQn+Febwv+DFZ/PeyC6w95RYrnBFn1F&#13;&#10;07g9DpJUyZ7RhxarXvwelixgmLROCgwBh57e1JsyfdkCFEUmRm/L9V2zRs8vjL6rm6rEOLstp0gE&#13;&#10;FtTrzX2FZ4jAimazaTDGgmIGThd4CPGjdIakgFFAYvkGfn4OcS79VYLnEtGZWoridJgWvgfXXVBk&#13;&#10;8OJJI9AzD3HPAduMkkdsPaPhx4mDpGT4ZNHbprqt1zgr1wlcJ4frhFvRO5woEYGSOfkQ84QlCda9&#13;&#10;P0WndKabeM1kFrrY1Cx4GcA0Ndd5rvr9THY/AQAA//8DAFBLAwQUAAYACAAAACEAJod4GtsAAAAK&#13;&#10;AQAADwAAAGRycy9kb3ducmV2LnhtbEyPQUvDQBCF74L/YRnBm53UgrRpNkWtelRSW7xOs2MSzO6G&#13;&#10;7DaN/nrHIujlMcNj3rwvW422VQP3ofFOw3SSgGJXetO4SsP29fFqDipEcoZa71jDJwdY5ednGaXG&#13;&#10;H13BwyZWSkJcSElDHWOXIoayZkth4jt24r373lKUta/Q9HSUcNvidZLcoKXGyYeaOr6vufzYHKyG&#13;&#10;oSNaf709tbuHosBnM8PF3QtqfXkxrpcit0tQkcf4dwE/DNIfcim29wdngmo1CE08qXizxXwKav87&#13;&#10;YJ7hf4T8GwAA//8DAFBLAQItABQABgAIAAAAIQC2gziS/gAAAOEBAAATAAAAAAAAAAAAAAAAAAAA&#13;&#10;AABbQ29udGVudF9UeXBlc10ueG1sUEsBAi0AFAAGAAgAAAAhADj9If/WAAAAlAEAAAsAAAAAAAAA&#13;&#10;AAAAAAAALwEAAF9yZWxzLy5yZWxzUEsBAi0AFAAGAAgAAAAhAJnxd+7KAQAAbgMAAA4AAAAAAAAA&#13;&#10;AAAAAAAALgIAAGRycy9lMm9Eb2MueG1sUEsBAi0AFAAGAAgAAAAhACaHeBrbAAAACgEAAA8AAAAA&#13;&#10;AAAAAAAAAAAAJAQAAGRycy9kb3ducmV2LnhtbFBLBQYAAAAABAAEAPMAAAAsBQAAAAA=&#13;&#10;" filled="f" stroked="f">
              <v:textbox inset="2.53958mm,2.53958mm,2.53958mm,2.53958mm">
                <w:txbxContent>
                  <w:p w14:paraId="7B0FD2AA" w14:textId="77777777" w:rsidR="00CC28A0" w:rsidRDefault="00CC28A0"/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412A" w14:textId="77777777" w:rsidR="00CC28A0" w:rsidRDefault="002E21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35718135" wp14:editId="5E76AD7C">
          <wp:simplePos x="0" y="0"/>
          <wp:positionH relativeFrom="margin">
            <wp:posOffset>5086350</wp:posOffset>
          </wp:positionH>
          <wp:positionV relativeFrom="margin">
            <wp:posOffset>-591805</wp:posOffset>
          </wp:positionV>
          <wp:extent cx="1167765" cy="69024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765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C37A" w14:textId="77777777" w:rsidR="00CC28A0" w:rsidRDefault="002E21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EA6915" wp14:editId="00CE07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27942" cy="2527942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4056950" y="3291050"/>
                        <a:ext cx="2578100" cy="977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BA101A" w14:textId="77777777" w:rsidR="00CC28A0" w:rsidRDefault="00CC28A0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7" style="position:absolute;margin-left:0;margin-top:0;width:199.05pt;height:199.05pt;rotation:-45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/dzQEAAHUDAAAOAAAAZHJzL2Uyb0RvYy54bWysU8tu2zAQvBfoPxC8x3rUjiPBdFA0SFEg&#10;aI2k/QCaIi0C4qNL2pL/vkvKSY32VlQHYkdaDmeGq839ZAZykhC0s4xWi5ISaYXrtD0w+uP7480d&#10;JSFy2/HBWcnoWQZ6v33/bjP6Vtaud0MngSCJDe3oGe1j9G1RBNFLw8PCeWnxo3JgeEQIh6IDPiK7&#10;GYq6LG+L0UHnwQkZAr59mD/SbeZXSor4TakgIxkYRW0xr5DXfVqL7Ya3B+C+1+Iig/+DCsO1xUPf&#10;qB545OQI+i8qowW44FRcCGcKp5QWMntAN1X5h5uXnnuZvWA4wb/FFP4frfh62gHRHaNLSiw3eEXP&#10;GBq3h0GSZYpn9KHFrhe/gwsKWCavkwJDwGGmN/W6TE+OAE2RCfnK1W2zwszPjH6om6rEOqctp0gE&#10;NtSr9V2Fe4jAjma9brDGhmImTgd4CPGzdIakglFAYfkEfnoKcW59bcF9SegsLVVx2k/ZV/VqYu+6&#10;M3oNXjxq5HviIe444G1XlIw4AYyGn0cOkpLhi8WIm2pZr3BkrgFcg/014Fb0DgdLRKBkBp9iHrTk&#10;xLqPx+iUzqqTvFnMRTXebfZ9mcM0PNc4d/3+W7a/AAAA//8DAFBLAwQUAAYACAAAACEA0kWJ5tgA&#10;AAAFAQAADwAAAGRycy9kb3ducmV2LnhtbEyPT0vDQBDF74LfYRnBm53UgrQxm+L/o5KqeJ1mxyS4&#10;Oxuy2zT66V2LoJfhDW947zfFenJWjTyEzouG+SwDxVJ700mj4eX5/mwJKkQSQ9YLa/jkAOvy+Kig&#10;3Pi9VDxuYqNSiIScNLQx9jliqFt2FGa+Z0neux8cxbQODZqB9incWTzPsgt01ElqaKnnm5brj83O&#10;aRh7otuvtwf7eldV+GgWuLp+Qq1PT6arS1CRp/h3DD/4CR3KxLT1OzFBWQ3pkXiYyVuslnNQ21+B&#10;ZYH/6ctvAAAA//8DAFBLAQItABQABgAIAAAAIQC2gziS/gAAAOEBAAATAAAAAAAAAAAAAAAAAAAA&#10;AABbQ29udGVudF9UeXBlc10ueG1sUEsBAi0AFAAGAAgAAAAhADj9If/WAAAAlAEAAAsAAAAAAAAA&#10;AAAAAAAALwEAAF9yZWxzLy5yZWxzUEsBAi0AFAAGAAgAAAAhAIHxf93NAQAAdQMAAA4AAAAAAAAA&#10;AAAAAAAALgIAAGRycy9lMm9Eb2MueG1sUEsBAi0AFAAGAAgAAAAhANJFiebYAAAABQEAAA8AAAAA&#10;AAAAAAAAAAAAJwQAAGRycy9kb3ducmV2LnhtbFBLBQYAAAAABAAEAPMAAAAsBQAAAAA=&#10;" filled="f" stroked="f">
              <v:textbox inset="2.53958mm,2.53958mm,2.53958mm,2.53958mm">
                <w:txbxContent>
                  <w:p/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A5D2B7"/>
    <w:multiLevelType w:val="hybridMultilevel"/>
    <w:tmpl w:val="9DFC35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0D3222"/>
    <w:multiLevelType w:val="hybridMultilevel"/>
    <w:tmpl w:val="E093CD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FC1183"/>
    <w:multiLevelType w:val="hybridMultilevel"/>
    <w:tmpl w:val="3228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F37"/>
    <w:multiLevelType w:val="multilevel"/>
    <w:tmpl w:val="E1D2F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B65935"/>
    <w:multiLevelType w:val="multilevel"/>
    <w:tmpl w:val="30745C1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E707A9"/>
    <w:multiLevelType w:val="hybridMultilevel"/>
    <w:tmpl w:val="517804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DF3414"/>
    <w:multiLevelType w:val="multilevel"/>
    <w:tmpl w:val="293097D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9225D2"/>
    <w:multiLevelType w:val="multilevel"/>
    <w:tmpl w:val="35C6790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B4559B"/>
    <w:multiLevelType w:val="multilevel"/>
    <w:tmpl w:val="D1F2F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A0"/>
    <w:rsid w:val="002E21AB"/>
    <w:rsid w:val="0043714A"/>
    <w:rsid w:val="00CC28A0"/>
    <w:rsid w:val="00E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1890F7"/>
  <w15:docId w15:val="{12421657-A769-4207-B5CD-040DB58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Lato" w:eastAsia="Lato" w:hAnsi="Lato" w:cs="Lato"/>
      <w:b/>
      <w:color w:val="314E84"/>
      <w:sz w:val="37"/>
      <w:szCs w:val="3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120"/>
      <w:outlineLvl w:val="1"/>
    </w:pPr>
    <w:rPr>
      <w:rFonts w:ascii="Lato" w:eastAsia="Lato" w:hAnsi="Lato" w:cs="Lato"/>
      <w:b/>
      <w:smallCaps/>
      <w:color w:val="314E84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Lato" w:eastAsia="Lato" w:hAnsi="Lato" w:cs="Lato"/>
      <w:b/>
      <w:color w:val="474747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Lato" w:eastAsia="Lato" w:hAnsi="Lato" w:cs="Lato"/>
      <w:smallCaps/>
      <w:color w:val="000000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4445A8530F4186050C90BC7D9697" ma:contentTypeVersion="23" ma:contentTypeDescription="Create a new document." ma:contentTypeScope="" ma:versionID="cef719bf634d8495842026bb89f8b0c8">
  <xsd:schema xmlns:xsd="http://www.w3.org/2001/XMLSchema" xmlns:xs="http://www.w3.org/2001/XMLSchema" xmlns:p="http://schemas.microsoft.com/office/2006/metadata/properties" xmlns:ns1="http://schemas.microsoft.com/sharepoint/v3" xmlns:ns2="54dc29e5-a604-4bb4-acc0-3bc6745e3d60" xmlns:ns3="9d07b42b-afa3-444f-a418-2b77411a8b7d" targetNamespace="http://schemas.microsoft.com/office/2006/metadata/properties" ma:root="true" ma:fieldsID="c26d5cfa236844e243985c6339e1f7c0" ns1:_="" ns2:_="" ns3:_="">
    <xsd:import namespace="http://schemas.microsoft.com/sharepoint/v3"/>
    <xsd:import namespace="54dc29e5-a604-4bb4-acc0-3bc6745e3d60"/>
    <xsd:import namespace="9d07b42b-afa3-444f-a418-2b77411a8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29e5-a604-4bb4-acc0-3bc6745e3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7b42b-afa3-444f-a418-2b77411a8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FBE33-4308-405B-8313-B79BF0C06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A3774-75BD-402A-A208-E183BC138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dc29e5-a604-4bb4-acc0-3bc6745e3d60"/>
    <ds:schemaRef ds:uri="9d07b42b-afa3-444f-a418-2b77411a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DFC6B-98A8-42CF-848A-7052D6E507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Book 2</dc:creator>
  <cp:lastModifiedBy>Sophia Vitello</cp:lastModifiedBy>
  <cp:revision>2</cp:revision>
  <dcterms:created xsi:type="dcterms:W3CDTF">2021-11-09T21:43:00Z</dcterms:created>
  <dcterms:modified xsi:type="dcterms:W3CDTF">2021-11-09T21:43:00Z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0x010100B52F4445A8530F4186050C90BC7D9697</vt:lpwstr>
  </property>
</Properties>
</file>